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982CD9" w14:paraId="4E4F9EF3" w14:textId="77777777" w:rsidTr="005C5C7A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535DC42" w14:textId="77777777" w:rsidR="00982CD9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982CD9" w14:paraId="7F706747" w14:textId="77777777" w:rsidTr="005C5C7A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1BB59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CD34D3" w14:textId="77777777" w:rsidR="00982CD9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982CD9" w14:paraId="7B64E7C0" w14:textId="77777777" w:rsidTr="005C5C7A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370CE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F6A201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1E10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B1262CC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45F5CF81" w14:textId="77777777" w:rsidTr="005C5C7A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1BA111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63FEEDC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4DBB661A" w14:textId="77777777" w:rsidTr="005C5C7A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64F46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BBE7E1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982CD9" w14:paraId="5F0ED85E" w14:textId="77777777" w:rsidTr="005C5C7A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48C93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5D022C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94A18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20C5B13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0B49F05" w14:textId="77777777" w:rsidTr="005C5C7A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8F80B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3749BBE8" w14:textId="77777777" w:rsidR="00982CD9" w:rsidRDefault="00D36C0A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22BA7B70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671E4E74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71D51FE" w14:textId="77777777" w:rsidTr="005C5C7A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454559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88272ED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F7FB0DD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30B0BBB1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74297C8" w14:textId="77777777" w:rsidTr="005C5C7A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DF24D7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94FBFC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3CF02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C795F1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697B365" w14:textId="77777777" w:rsidTr="005C5C7A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0C588A1" w14:textId="77777777" w:rsidR="00982CD9" w:rsidRDefault="00D36C0A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17726F" w14:textId="4DFD61A6" w:rsidR="00982CD9" w:rsidRDefault="007907A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Doktorov</w:t>
            </w:r>
          </w:p>
        </w:tc>
        <w:tc>
          <w:tcPr>
            <w:tcW w:w="160" w:type="dxa"/>
            <w:vAlign w:val="center"/>
          </w:tcPr>
          <w:p w14:paraId="1F8E0662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5B21B2E" w14:textId="77777777" w:rsidTr="005C5C7A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CA02B5" w14:textId="77777777" w:rsidR="00982CD9" w:rsidRDefault="00D36C0A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D6AB7F" w14:textId="76ECBA22" w:rsidR="00982CD9" w:rsidRDefault="007907A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Anton</w:t>
            </w:r>
          </w:p>
        </w:tc>
        <w:tc>
          <w:tcPr>
            <w:tcW w:w="160" w:type="dxa"/>
            <w:vAlign w:val="center"/>
          </w:tcPr>
          <w:p w14:paraId="6A7E2DDB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52EB026" w14:textId="77777777" w:rsidTr="005C5C7A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1CC9676A" w14:textId="77777777" w:rsidR="00982CD9" w:rsidRDefault="00D36C0A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910DB8" w14:textId="4A994A6B" w:rsidR="00982CD9" w:rsidRPr="007E1DDE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7907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Ing. M</w:t>
            </w:r>
            <w:r w:rsidR="007907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., PhD.</w:t>
            </w:r>
          </w:p>
        </w:tc>
        <w:tc>
          <w:tcPr>
            <w:tcW w:w="160" w:type="dxa"/>
            <w:vAlign w:val="center"/>
          </w:tcPr>
          <w:p w14:paraId="58C83F3B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67C7B1E" w14:textId="77777777" w:rsidTr="005C5C7A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B2862FE" w14:textId="77777777" w:rsidR="00982CD9" w:rsidRDefault="00D36C0A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6A852A" w14:textId="34B1A47E" w:rsidR="00982CD9" w:rsidRPr="005B40FD" w:rsidRDefault="007907A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907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https://www.portalvs.sk/regzam/detail/12295</w:t>
            </w:r>
          </w:p>
        </w:tc>
        <w:tc>
          <w:tcPr>
            <w:tcW w:w="160" w:type="dxa"/>
            <w:vAlign w:val="center"/>
          </w:tcPr>
          <w:p w14:paraId="6C835C65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E17112E" w14:textId="77777777" w:rsidTr="005C5C7A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08BDB14" w14:textId="77777777" w:rsidR="00982CD9" w:rsidRDefault="00D36C0A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607C69" w14:textId="518BD0CD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Sociálna práca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II. </w:t>
            </w:r>
            <w:r w:rsidR="00FA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III.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 II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FA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III. </w:t>
            </w:r>
            <w:proofErr w:type="spellStart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5091A295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FFD79D5" w14:textId="77777777" w:rsidTr="005C5C7A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5FB16DC" w14:textId="77777777" w:rsidR="00982CD9" w:rsidRDefault="00D36C0A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Expl.OCA6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DE687B" w14:textId="03CF6477" w:rsidR="00FD01B0" w:rsidRDefault="00982CD9" w:rsidP="00FD01B0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FD01B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5603A1">
              <w:rPr>
                <w:sz w:val="16"/>
                <w:szCs w:val="16"/>
              </w:rPr>
              <w:t>Vysokoškolská učebnica</w:t>
            </w:r>
          </w:p>
          <w:p w14:paraId="11EF8C42" w14:textId="035AF374" w:rsidR="00982CD9" w:rsidRDefault="00982CD9" w:rsidP="005C5C7A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2DE47C72" w14:textId="77777777" w:rsidR="00982CD9" w:rsidRDefault="00982CD9" w:rsidP="005C5C7A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3186EB4B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61EEA11B" w14:textId="77777777" w:rsidTr="005C5C7A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A37B532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2F30AF" w14:textId="02F836CC" w:rsidR="00982CD9" w:rsidRDefault="003103F3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5603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22</w:t>
            </w:r>
          </w:p>
        </w:tc>
        <w:tc>
          <w:tcPr>
            <w:tcW w:w="160" w:type="dxa"/>
            <w:vAlign w:val="center"/>
          </w:tcPr>
          <w:p w14:paraId="7B6B642A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36C0A" w14:paraId="652BCA5A" w14:textId="77777777" w:rsidTr="005C5C7A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A780C5" w14:textId="77777777" w:rsidR="00D36C0A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03D7FD" w14:textId="30BEE27B" w:rsidR="00D36C0A" w:rsidRPr="00FA2177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Verdana" w:hAnsi="Verdana"/>
                <w:color w:val="222222"/>
                <w:sz w:val="23"/>
                <w:szCs w:val="23"/>
                <w:shd w:val="clear" w:color="auto" w:fill="FFFFFF"/>
              </w:rPr>
              <w:t xml:space="preserve">Index </w:t>
            </w:r>
            <w:proofErr w:type="spellStart"/>
            <w:r>
              <w:rPr>
                <w:rFonts w:ascii="Verdana" w:hAnsi="Verdana"/>
                <w:color w:val="222222"/>
                <w:sz w:val="23"/>
                <w:szCs w:val="23"/>
                <w:shd w:val="clear" w:color="auto" w:fill="FFFFFF"/>
              </w:rPr>
              <w:t>Copernicus</w:t>
            </w:r>
            <w:proofErr w:type="spellEnd"/>
            <w:r>
              <w:rPr>
                <w:rFonts w:ascii="Verdana" w:hAnsi="Verdana"/>
                <w:color w:val="222222"/>
                <w:sz w:val="23"/>
                <w:szCs w:val="23"/>
                <w:shd w:val="clear" w:color="auto" w:fill="FFFFFF"/>
              </w:rPr>
              <w:t xml:space="preserve"> (ICV 2014: 50.11)</w:t>
            </w:r>
          </w:p>
        </w:tc>
        <w:tc>
          <w:tcPr>
            <w:tcW w:w="160" w:type="dxa"/>
            <w:vAlign w:val="center"/>
          </w:tcPr>
          <w:p w14:paraId="5981D741" w14:textId="77777777" w:rsidR="00D36C0A" w:rsidRDefault="00D36C0A" w:rsidP="00D3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36C0A" w14:paraId="78BA0A1C" w14:textId="77777777" w:rsidTr="005C5C7A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BFED48E" w14:textId="77777777" w:rsidR="00D36C0A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2D4112" w14:textId="42054BF5" w:rsidR="00D36C0A" w:rsidRPr="00E31F09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26488D" w14:textId="77777777" w:rsidR="00D36C0A" w:rsidRDefault="00D36C0A" w:rsidP="00D3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36C0A" w14:paraId="0E957341" w14:textId="77777777" w:rsidTr="005C5C7A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1422B98E" w14:textId="77777777" w:rsidR="00D36C0A" w:rsidRDefault="00D36C0A" w:rsidP="00D36C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33526EC" w14:textId="77777777" w:rsidR="00D36C0A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22F742" w14:textId="31EE3F4F" w:rsidR="00D36C0A" w:rsidRPr="00E31F09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D74A2C6" w14:textId="77777777" w:rsidR="00D36C0A" w:rsidRDefault="00D36C0A" w:rsidP="00D3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36C0A" w14:paraId="41329050" w14:textId="77777777" w:rsidTr="005C5C7A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73389E" w14:textId="77777777" w:rsidR="00D36C0A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D4FBB1F" w14:textId="77777777" w:rsidR="00D36C0A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31FB51" w14:textId="77777777" w:rsidR="00D36C0A" w:rsidRPr="00B07368" w:rsidRDefault="00D36C0A" w:rsidP="00D36C0A">
            <w:pPr>
              <w:shd w:val="clear" w:color="auto" w:fill="FFFFFF"/>
              <w:spacing w:after="75" w:line="360" w:lineRule="auto"/>
              <w:rPr>
                <w:rFonts w:cstheme="minorHAnsi"/>
                <w:sz w:val="16"/>
                <w:szCs w:val="16"/>
              </w:rPr>
            </w:pPr>
            <w:r w:rsidRPr="00B07368">
              <w:rPr>
                <w:rFonts w:cstheme="minorHAnsi"/>
                <w:sz w:val="16"/>
                <w:szCs w:val="16"/>
              </w:rPr>
              <w:t>DOKTOROV A., DOKTOROV, Z. : Pripomienky k ustanoveniu dôverníka v sociálnej legislatíve. In: Sociálno-zdravotnícke spektrum.  2022,11/  7 s. ONLINE ISSN 1339-2379</w:t>
            </w:r>
          </w:p>
          <w:p w14:paraId="375DBB7A" w14:textId="603FD922" w:rsidR="00D36C0A" w:rsidRPr="00982CD9" w:rsidRDefault="00D36C0A" w:rsidP="00D36C0A">
            <w:pPr>
              <w:pStyle w:val="Odsekzoznamu"/>
              <w:spacing w:line="360" w:lineRule="auto"/>
              <w:ind w:left="473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1EDF73C" w14:textId="77777777" w:rsidR="00D36C0A" w:rsidRDefault="00D36C0A" w:rsidP="00D3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36C0A" w14:paraId="26454FCF" w14:textId="77777777" w:rsidTr="005C5C7A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D72CE5" w14:textId="77777777" w:rsidR="00D36C0A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E2333F" w14:textId="77777777" w:rsidR="00D36C0A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D4BA80" w14:textId="3B5EB258" w:rsidR="00D36C0A" w:rsidRPr="00D26FD0" w:rsidRDefault="00D36C0A" w:rsidP="00D36C0A">
            <w:pPr>
              <w:pStyle w:val="Textpoznmkypodiarou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Vysokoškolská učebnica sociálnej práce pre študijný odbor Sociálna práca.</w:t>
            </w:r>
          </w:p>
        </w:tc>
        <w:tc>
          <w:tcPr>
            <w:tcW w:w="160" w:type="dxa"/>
            <w:vAlign w:val="center"/>
          </w:tcPr>
          <w:p w14:paraId="54038655" w14:textId="77777777" w:rsidR="00D36C0A" w:rsidRDefault="00D36C0A" w:rsidP="00D3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36C0A" w14:paraId="72226180" w14:textId="77777777" w:rsidTr="005C5C7A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138560" w14:textId="77777777" w:rsidR="00D36C0A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3F0912A" w14:textId="77777777" w:rsidR="00D36C0A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B134" w14:textId="7113C802" w:rsidR="00D36C0A" w:rsidRPr="00E31F09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583F387" w14:textId="77777777" w:rsidR="00D36C0A" w:rsidRDefault="00D36C0A" w:rsidP="00D3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36C0A" w14:paraId="5182E76B" w14:textId="77777777" w:rsidTr="005C5C7A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035513" w14:textId="77777777" w:rsidR="00D36C0A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6E39132" w14:textId="77777777" w:rsidR="00D36C0A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45F618" w14:textId="65BC6E52" w:rsidR="00D36C0A" w:rsidRDefault="00D36C0A" w:rsidP="00D36C0A">
            <w:pPr>
              <w:pStyle w:val="PredformtovanHTML"/>
              <w:shd w:val="clear" w:color="auto" w:fill="F8F9FA"/>
              <w:spacing w:line="360" w:lineRule="atLeast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80%</w:t>
            </w:r>
          </w:p>
        </w:tc>
        <w:tc>
          <w:tcPr>
            <w:tcW w:w="160" w:type="dxa"/>
            <w:vAlign w:val="center"/>
          </w:tcPr>
          <w:p w14:paraId="1DFEC2C6" w14:textId="77777777" w:rsidR="00D36C0A" w:rsidRDefault="00D36C0A" w:rsidP="00D3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36C0A" w14:paraId="2D6F2049" w14:textId="77777777" w:rsidTr="005C5C7A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F4C445" w14:textId="77777777" w:rsidR="00D36C0A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A1A6116" w14:textId="77777777" w:rsidR="00D36C0A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0B508D" w14:textId="77777777" w:rsidR="00D36C0A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  <w:p w14:paraId="46B2F59B" w14:textId="217C48F6" w:rsidR="00D36C0A" w:rsidRDefault="00D36C0A" w:rsidP="00D36C0A">
            <w:pPr>
              <w:pStyle w:val="PredformtovanHTML"/>
              <w:shd w:val="clear" w:color="auto" w:fill="F8F9FA"/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</w:pPr>
            <w:r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>Materiál sa zaoberá kritikou novely zákona č. 448/ 2008 Z. z., ktorá zavádza inštitút dôverníka pre prijímateľa sociálnej služby v zariadení sociálnych služieb. Autori poukazujú na praktickú nevykonateľnosť takto koncipovaného inštitútu dôverníka. Prekážkou sa stávajú nedefinované pojmy, ako aj právne neurčité postavenie dôverníka, čo vyvoláva rozpaky pre poskytovateľov sociálnych služieb.</w:t>
            </w:r>
          </w:p>
          <w:p w14:paraId="4A1DF69B" w14:textId="3243C3E8" w:rsidR="00D36C0A" w:rsidRDefault="00D36C0A" w:rsidP="00D36C0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theme="minorHAnsi"/>
                <w:sz w:val="16"/>
                <w:szCs w:val="16"/>
              </w:rPr>
              <w:t xml:space="preserve">./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material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deals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with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criticism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amendment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Act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No. 448/2008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Coll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.,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which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introduces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institution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of a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trustee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for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recipient of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services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in a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service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facility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>.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authors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point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out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practical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impossibility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trusted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institute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conceived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this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way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>.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Undefined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terms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, as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well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as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legally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uncertain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status of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confidant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become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an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obstacle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which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causes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embarrassment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for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service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07368">
              <w:rPr>
                <w:rFonts w:cstheme="minorHAnsi"/>
                <w:sz w:val="16"/>
                <w:szCs w:val="16"/>
              </w:rPr>
              <w:t>providers</w:t>
            </w:r>
            <w:proofErr w:type="spellEnd"/>
            <w:r w:rsidRPr="00B07368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7A8A79C9" w14:textId="77777777" w:rsidR="00D36C0A" w:rsidRDefault="00D36C0A" w:rsidP="00D3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36C0A" w14:paraId="0FEE32A5" w14:textId="77777777" w:rsidTr="007329C6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</w:tcPr>
          <w:p w14:paraId="1B366B8F" w14:textId="7E242F73" w:rsidR="00D36C0A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C91B07" w14:textId="3B8D4342" w:rsidR="00D36C0A" w:rsidRPr="0033483B" w:rsidRDefault="00D36C0A" w:rsidP="00D36C0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6123D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material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deals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with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criticism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amendment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Act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No. 448/2008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Coll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.,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which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introduces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institution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of a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trustee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for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recipient of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services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in a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service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facility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authors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point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out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practical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impossibility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trusted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institute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conceived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this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way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Undefined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terms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, as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well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as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legally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uncertain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status of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confidant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become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an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obstacle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which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causes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embarrassment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for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service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123D6">
              <w:rPr>
                <w:rFonts w:cstheme="minorHAnsi"/>
                <w:sz w:val="16"/>
                <w:szCs w:val="16"/>
              </w:rPr>
              <w:t>providers</w:t>
            </w:r>
            <w:proofErr w:type="spellEnd"/>
            <w:r w:rsidRPr="006123D6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6B1E995B" w14:textId="77777777" w:rsidR="00D36C0A" w:rsidRDefault="00D36C0A" w:rsidP="00D3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36C0A" w14:paraId="7D22471F" w14:textId="77777777" w:rsidTr="005C5C7A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0199DB6" w14:textId="77777777" w:rsidR="00D36C0A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36A126" w14:textId="77777777" w:rsidR="00D36C0A" w:rsidRPr="0033483B" w:rsidRDefault="00D36C0A" w:rsidP="00D36C0A">
            <w:pPr>
              <w:autoSpaceDE w:val="0"/>
              <w:autoSpaceDN w:val="0"/>
              <w:adjustRightInd w:val="0"/>
              <w:spacing w:after="0"/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7D1226C" w14:textId="77777777" w:rsidR="00D36C0A" w:rsidRDefault="00D36C0A" w:rsidP="00D3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36C0A" w14:paraId="272A75B2" w14:textId="77777777" w:rsidTr="005C5C7A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70F71D1" w14:textId="77777777" w:rsidR="00D36C0A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89D739" w14:textId="38FE59B8" w:rsidR="00D36C0A" w:rsidRDefault="00D36C0A" w:rsidP="00D36C0A">
            <w:pPr>
              <w:pStyle w:val="PredformtovanHTML"/>
              <w:shd w:val="clear" w:color="auto" w:fill="F8F9FA"/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</w:pPr>
            <w:r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>Materiál je nesmierne potrebný  pre poskytovateľov sociálnych služieb, ktorí v súčasnej právnej úprave nemôžu hodnoverne dokázať, že ich prijímatelia sociálnych služieb majú ustanoveného dôverníka, ktorý účinne háji záujem prijímateľa sociálnych služieb.</w:t>
            </w:r>
          </w:p>
          <w:p w14:paraId="10C4CAFA" w14:textId="51899529" w:rsidR="00D36C0A" w:rsidRDefault="00D36C0A" w:rsidP="00D36C0A">
            <w:pPr>
              <w:pStyle w:val="PredformtovanHTML"/>
              <w:shd w:val="clear" w:color="auto" w:fill="F8F9FA"/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</w:pP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material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is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extremely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necessary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for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social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service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providers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who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, </w:t>
            </w: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under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current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legislation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, </w:t>
            </w: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cannot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reliably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prove </w:t>
            </w: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that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their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recipients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of </w:t>
            </w: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social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services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have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an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appointed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trustee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who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effectively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defends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interest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of </w:t>
            </w: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recipient of </w:t>
            </w: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social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services</w:t>
            </w:r>
            <w:proofErr w:type="spellEnd"/>
            <w:r w:rsidRPr="00956216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.</w:t>
            </w:r>
          </w:p>
          <w:p w14:paraId="63BB0735" w14:textId="245A29F3" w:rsidR="00D36C0A" w:rsidRPr="008F759F" w:rsidRDefault="00D36C0A" w:rsidP="00D36C0A">
            <w:pPr>
              <w:pStyle w:val="PredformtovanHTML"/>
              <w:shd w:val="clear" w:color="auto" w:fill="F8F9FA"/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</w:pPr>
          </w:p>
        </w:tc>
        <w:tc>
          <w:tcPr>
            <w:tcW w:w="160" w:type="dxa"/>
            <w:vAlign w:val="center"/>
          </w:tcPr>
          <w:p w14:paraId="19107378" w14:textId="77777777" w:rsidR="00D36C0A" w:rsidRDefault="00D36C0A" w:rsidP="00D3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36C0A" w14:paraId="1E8D0A45" w14:textId="77777777" w:rsidTr="005C5C7A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2F202DC" w14:textId="77777777" w:rsidR="00D36C0A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64798E" w14:textId="0C809326" w:rsidR="00D36C0A" w:rsidRPr="008F759F" w:rsidRDefault="00D36C0A" w:rsidP="00D36C0A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8F759F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04F3A698" w14:textId="7CACFAD6" w:rsidR="00D36C0A" w:rsidRDefault="00D36C0A" w:rsidP="00D36C0A">
            <w:pPr>
              <w:pStyle w:val="PredformtovanHTML"/>
              <w:shd w:val="clear" w:color="auto" w:fill="F8F9FA"/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</w:pPr>
            <w:r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>Študenti sa na základe materiálu oboznamujú s úskaliami legislatívneho procesu v sociálnej oblasti.  Tak isto sa naučia, aké následky má slabé prepojenie sociálnej praxe s legislatívnym procesom.</w:t>
            </w:r>
          </w:p>
          <w:p w14:paraId="369D2D23" w14:textId="1B18F441" w:rsidR="00D36C0A" w:rsidRPr="008F759F" w:rsidRDefault="00D36C0A" w:rsidP="00D36C0A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proofErr w:type="spellStart"/>
            <w:r w:rsidRPr="00956216">
              <w:rPr>
                <w:rFonts w:cstheme="minorHAnsi"/>
                <w:sz w:val="16"/>
                <w:szCs w:val="16"/>
              </w:rPr>
              <w:t>Based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on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material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students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familiarize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themselves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with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pitfalls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legislative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process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field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They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will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also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learn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consequences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of a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weak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connection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between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practice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legislative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process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46D96F3B" w14:textId="77777777" w:rsidR="00D36C0A" w:rsidRDefault="00D36C0A" w:rsidP="00D3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3CFB8C2" w14:textId="77777777" w:rsidR="00982CD9" w:rsidRDefault="00982CD9" w:rsidP="00982CD9"/>
    <w:p w14:paraId="72EFAD16" w14:textId="77777777" w:rsidR="00982CD9" w:rsidRDefault="00982CD9" w:rsidP="00982CD9"/>
    <w:p w14:paraId="2BA81039" w14:textId="77777777" w:rsidR="00CF0AB6" w:rsidRDefault="00CF0AB6"/>
    <w:sectPr w:rsidR="00CF0A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B204A"/>
    <w:multiLevelType w:val="hybridMultilevel"/>
    <w:tmpl w:val="B832D7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F1E5E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9A8655C"/>
    <w:multiLevelType w:val="hybridMultilevel"/>
    <w:tmpl w:val="6EBCBDA0"/>
    <w:lvl w:ilvl="0" w:tplc="B1327E0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num w:numId="1" w16cid:durableId="950278603">
    <w:abstractNumId w:val="0"/>
  </w:num>
  <w:num w:numId="2" w16cid:durableId="184560467">
    <w:abstractNumId w:val="2"/>
  </w:num>
  <w:num w:numId="3" w16cid:durableId="18128237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CD9"/>
    <w:rsid w:val="000A48E3"/>
    <w:rsid w:val="0016119D"/>
    <w:rsid w:val="001759E1"/>
    <w:rsid w:val="00187A0D"/>
    <w:rsid w:val="001A573E"/>
    <w:rsid w:val="003103F3"/>
    <w:rsid w:val="0033483B"/>
    <w:rsid w:val="004A3CDA"/>
    <w:rsid w:val="00536ADE"/>
    <w:rsid w:val="005603A1"/>
    <w:rsid w:val="006A5376"/>
    <w:rsid w:val="00722F63"/>
    <w:rsid w:val="00775D24"/>
    <w:rsid w:val="007907A9"/>
    <w:rsid w:val="007D2CC2"/>
    <w:rsid w:val="008039E5"/>
    <w:rsid w:val="008369D5"/>
    <w:rsid w:val="00895E62"/>
    <w:rsid w:val="008F759F"/>
    <w:rsid w:val="00910430"/>
    <w:rsid w:val="00926585"/>
    <w:rsid w:val="00956216"/>
    <w:rsid w:val="00982CD9"/>
    <w:rsid w:val="009A6D84"/>
    <w:rsid w:val="00AB23E2"/>
    <w:rsid w:val="00B07368"/>
    <w:rsid w:val="00BB44EA"/>
    <w:rsid w:val="00C10E90"/>
    <w:rsid w:val="00C44972"/>
    <w:rsid w:val="00CF0AB6"/>
    <w:rsid w:val="00D36C0A"/>
    <w:rsid w:val="00D96266"/>
    <w:rsid w:val="00E215CF"/>
    <w:rsid w:val="00E9344C"/>
    <w:rsid w:val="00EA60E4"/>
    <w:rsid w:val="00F36367"/>
    <w:rsid w:val="00FA2177"/>
    <w:rsid w:val="00FD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799B6"/>
  <w15:chartTrackingRefBased/>
  <w15:docId w15:val="{4717ED33-F91A-40EB-8B5D-176B8DEE5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82CD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982CD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982CD9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982C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982CD9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982CD9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FD01B0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FD01B0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D01B0"/>
    <w:rPr>
      <w:color w:val="954F72" w:themeColor="followedHyperlink"/>
      <w:u w:val="single"/>
    </w:rPr>
  </w:style>
  <w:style w:type="paragraph" w:customStyle="1" w:styleId="Default">
    <w:name w:val="Default"/>
    <w:rsid w:val="00D962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5603A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tyles" Target="style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1230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anton Doktorov</cp:lastModifiedBy>
  <cp:revision>5</cp:revision>
  <cp:lastPrinted>2022-11-22T13:24:00Z</cp:lastPrinted>
  <dcterms:created xsi:type="dcterms:W3CDTF">2022-11-22T12:59:00Z</dcterms:created>
  <dcterms:modified xsi:type="dcterms:W3CDTF">2022-11-22T13:28:00Z</dcterms:modified>
</cp:coreProperties>
</file>